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NW_29445 (Nordrhein-Westfalen) — Finanzierung</w:t>
      </w:r>
    </w:p>
    <w:p>
      <w:r>
        <w:rPr>
          <w:color w:val="555555"/>
          <w:sz w:val="18"/>
        </w:rPr>
        <w:t xml:space="preserve">IUAG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Tätigkeiten im Zusammenhang mit der Durchführung der nach § 4 oder einer auf Grund von § 3 Abs. 1 Satz 2 Nummer 1 erlassenen Rechtsverordnung zugewiesenen Aufgaben erhebt die Untersuchungsanstalt vom Gebührenschuldner soweit gesetzlich vorgesehen Gebühren, im Übrigen von den Trägern, weiteren beteiligten Kommunen und dem Land Entgelte. Näheres regelt eine Satzung.</w:t>
      </w:r>
    </w:p>
    <w:p>
      <w:r>
        <w:t xml:space="preserve">(2) Das Anfangsbudget der Untersuchungsanstalt wird auf Basis der Haushaltspläne der bisherigen Träger der zusammengeführten Untersuchungsämter bezogen auf das Jahr vor der Gründung der Untersuchungsanstalt gebildet. Näheres regelt die Satzung.</w:t>
      </w:r>
    </w:p>
    <w:p>
      <w:r>
        <w:t xml:space="preserve">(3) Für die Ausführung von Aufträgen Dritter (§ 4 Abs. 7) sind mindestens kostendeckende Gebühren und Entgelte zu erheben.</w:t>
      </w:r>
    </w:p>
    <w:p>
      <w:r>
        <w:rPr>
          <w:color w:val="555555"/>
          <w:sz w:val="17"/>
        </w:rPr>
        <w:t xml:space="preserve">Zitiervorschlag: § 14 NW_29445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