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NW_29444 (Nordrhein-Westfalen) — Personenbezogene Bezeichnungen</w:t>
      </w:r>
    </w:p>
    <w:p>
      <w:r>
        <w:rPr>
          <w:color w:val="555555"/>
          <w:sz w:val="18"/>
        </w:rPr>
        <w:t xml:space="preserve">Gesetz zur Regelung der personalrechtlichen und finanzwirtschaftlichen Folgen der Kommunalisierung von Aufgaben des Umweltrechts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personenbezogenen Bezeichnungen dieses Gesetzes beziehen sich auf beide Geschlechter.</w:t>
      </w:r>
    </w:p>
    <w:p>
      <w:r>
        <w:rPr>
          <w:color w:val="555555"/>
          <w:sz w:val="17"/>
        </w:rPr>
        <w:t xml:space="preserve">Zitiervorschlag: § 6 NW_29444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