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NW_29428 (Nordrhein-Westfalen) — Aufgaben nach dem Bundeselterngeld- und Elternzeitgesetz</w:t>
      </w:r>
    </w:p>
    <w:p>
      <w:r>
        <w:rPr>
          <w:color w:val="555555"/>
          <w:sz w:val="18"/>
        </w:rPr>
        <w:t xml:space="preserve">Gesetz zur Eingliederung der Versorgungsämter in die allgemeine Verwaltung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den Versorgungsämtern übertragenen Aufgaben nach dem Bundeselterngeld- und Elternzeitgesetz werden mit Wirkung vom 1. Januar 2008 auf die Kreise und kreisfreien Städte übertragen.</w:t>
      </w:r>
    </w:p>
    <w:p>
      <w:r>
        <w:t xml:space="preserve">(2) Die Kreise und kreisfreien Städte nehmen die Aufgaben als Auftragsangelegenheit kraft Bundesrechts wahr. Die Aufsicht führt die Bezirksregierung Münster. Oberste Aufsichtsbehörde ist die fachlich zuständige oberste Landesbehörde.</w:t>
      </w:r>
    </w:p>
    <w:p>
      <w:r>
        <w:rPr>
          <w:color w:val="555555"/>
          <w:sz w:val="17"/>
        </w:rPr>
        <w:t xml:space="preserve">Zitiervorschlag: § 5 NW_29428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https://recht.nulegal.eu/gesetze/NW_29428/5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