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NW_29428 (Nordrhein-Westfalen) — Inkrafttreten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Stellvertreter</w:t>
      </w:r>
    </w:p>
    <w:p>
      <w:r>
        <w:t xml:space="preserve">des Ministerpräsidenten</w:t>
      </w:r>
    </w:p>
    <w:p>
      <w:r>
        <w:t xml:space="preserve">Der Finanzminister</w:t>
      </w:r>
    </w:p>
    <w:p>
      <w:r>
        <w:t xml:space="preserve">Der Innenminister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Der Minister</w:t>
      </w:r>
    </w:p>
    <w:p>
      <w:r>
        <w:t xml:space="preserve">für Generationen, Familie,</w:t>
      </w:r>
    </w:p>
    <w:p>
      <w:r>
        <w:t xml:space="preserve">Frauen und Integration</w:t>
      </w:r>
    </w:p>
    <w:p>
      <w:r>
        <w:rPr>
          <w:color w:val="555555"/>
          <w:sz w:val="17"/>
        </w:rPr>
        <w:t xml:space="preserve">Zitiervorschlag: § 29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