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NW_29428 (Nordrhein-Westfalen) — Fachbezogener Sachaufwand</w:t>
      </w:r>
    </w:p>
    <w:p>
      <w:r>
        <w:rPr>
          <w:color w:val="555555"/>
          <w:sz w:val="18"/>
        </w:rPr>
        <w:t xml:space="preserve">Gesetz zur Eingliederung der Versorgungsämter in die allgemeine Verwaltung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Zum Ausgleich des Aufwandes, der durch die medizinische Beweiserhebung und durch Gebühren und Anwaltskosten in Gerichtsverfahren (fachbezogener Sachaufwand) entsteht, erhalten die Kreise und kreisfreien Städte einen Pauschalbetrag pro Fall von 56 Euro; als Fälle gelten Erstanträge, Änderungsanträge, Nachprüfungen und Widersprüche im Bereich des Schwerbehindertenrechts.</w:t>
      </w:r>
    </w:p>
    <w:p>
      <w:r>
        <w:t xml:space="preserve">(2) Der fachbezogene Sachaufwand gemäß Absatz 1 Satz 1 ist in Abständen von jeweils drei Jahren, erstmals zum 1. Januar 2014, anhand der Entwicklung der Fallzahlen und der Kosten der Beweiserhebung zu prüfen und bei einer wesentlichen Abweichung anzupassen.</w:t>
      </w:r>
    </w:p>
    <w:p>
      <w:r>
        <w:t xml:space="preserve">(3) Das für Soziales zuständige Ministerium wird ermächtigt, die Einzelheiten zum Ausgleich des fachbezogenen Sachaufwandes durch Rechtsverordnung festzusetzen.</w:t>
      </w:r>
    </w:p>
    <w:p>
      <w:r>
        <w:rPr>
          <w:color w:val="555555"/>
          <w:sz w:val="17"/>
        </w:rPr>
        <w:t xml:space="preserve">Zitiervorschlag: § 26 NW_29428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https://recht.nulegal.eu/gesetze/NW_29428/26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