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NW_29428 (Nordrhein-Westfalen) — Anpassung des Belastungsausgleichs</w:t>
      </w:r>
    </w:p>
    <w:p>
      <w:r>
        <w:rPr>
          <w:color w:val="555555"/>
          <w:sz w:val="18"/>
        </w:rPr>
        <w:t xml:space="preserve">Gesetz zur Eingliederung der Versorgungsämter in die allgemeine Verwaltung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Jahresdurchschnittskostenbeträge gemäß § 23 Absatz 4 Satz 1 und Absatz 5 Satz 1 sind bei künftigen Änderungen der Besoldung eines Beamten der Besoldungsgruppe A 9 des mittleren Dienstes bei den Kommunen jeweils entsprechend anzupassen.</w:t>
      </w:r>
    </w:p>
    <w:p>
      <w:r>
        <w:t xml:space="preserve">(2) Der Personalbedarf gemäß § 23 Absatz 3 Satz 1 ist in Abständen von jeweils drei Jahren, erstmals zum 1. Januar 2014, anhand der Entwicklung der diesem Gesetz zugrunde liegenden Indikatoren zu überprüfen und bei einer wesentlichen Abweichung anzupassen.</w:t>
      </w:r>
    </w:p>
    <w:p>
      <w:r>
        <w:t xml:space="preserve">(3) Das für Soziales zuständige Ministerium wird ermächtigt, Anpassungen nach den Absätzen 1 und 2 sowie Anpassungen bei tatsächlichen oder rechtlichen Änderungen, die zu einer erheblichen Änderung des Bearbeitungsaufwands führen, durch Rechtsverordnung festzusetzen; die kommunalen Spitzenverbände sind in entsprechender Anwendung des § 7 des Konnexitätsausführungsgesetzes zu beteiligen.</w:t>
      </w:r>
    </w:p>
    <w:p>
      <w:r>
        <w:rPr>
          <w:color w:val="555555"/>
          <w:sz w:val="17"/>
        </w:rPr>
        <w:t xml:space="preserve">Zitiervorschlag: § 25 NW_29428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https://recht.nulegal.eu/gesetze/NW_29428/25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