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NW_29428 (Nordrhein-Westfalen) — Sach- und Dienstleistungen des Landes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Bearbeitung der Aufgaben und die Auszahlung der im Rahmen der Aufgabenwahrnehmung zu zahlenden Leistungen, insbesondere für die Bearbeitung der Anträge nach dem Bundeselterngeld- und Elternzeitgesetz und die Auszahlung des Elterngeldes, gewährt das Land Nordrhein-Westfalen den Kreisen und kreisfreien Städten sowie den Landschaftsverbänden die kostenlose Nutzung des bisher beim Land für diese Aufgaben eingesetzten IT-Verfahrens. Die notwendigen Kosten für Betrieb, Pflege und Weiterentwicklung dieses Verfahrens trägt das Land. Die Kreise und kreisfreien Städte stellen in eigener Zuständigkeit die Anbindung an das Landesverwaltungsnetz sicher.</w:t>
      </w:r>
    </w:p>
    <w:p>
      <w:r>
        <w:t xml:space="preserve">(2) Neben den Sach- und Dienstleistungen nach Absatz 1 trägt das Land die Kosten für die Dienstleistungen des Landesbetriebes Information und Technik Nordrhein-Westfalen beim Postversand für die Versorgungsverwaltung einschließlich der Portokosten.</w:t>
      </w:r>
    </w:p>
    <w:p>
      <w:r>
        <w:rPr>
          <w:color w:val="555555"/>
          <w:sz w:val="17"/>
        </w:rPr>
        <w:t xml:space="preserve">Zitiervorschlag: § 24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