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NW_29416 (Nordrhein-Westfalen) — Zulassung</w:t>
      </w:r>
    </w:p>
    <w:p>
      <w:r>
        <w:rPr>
          <w:color w:val="555555"/>
          <w:sz w:val="18"/>
        </w:rPr>
        <w:t xml:space="preserve">PO-Externe-S 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Prüfung kann nur zugelassen werden, wer den erstrebten Abschluss nicht besitzt und</w:t>
      </w:r>
    </w:p>
    <w:p>
      <w:r>
        <w:t xml:space="preserve">1. sowohl die Vollzeitschulpflicht nach § 37 des Schulgesetzes NRW vom 15. Februar 2005 (GV. NRW. S. 102), das zuletzt durch Artikel 3 des Gesetzes vom 17. Juni 2014 (GV. NRW S. 336) geändert worden ist, als auch die Schulpflicht in der Sekundarstufe II nach § 38 des Schulgesetzes NRW erfüllt hat oder</w:t>
      </w:r>
    </w:p>
    <w:p>
      <w:r>
        <w:t xml:space="preserve">2. Schülerin oder Schüler einer anerkannten Ergänzungsschule gemäß § 118 des Schulgesetzes NRW ist oder</w:t>
      </w:r>
    </w:p>
    <w:p>
      <w:r>
        <w:t xml:space="preserve">3. an einem Berufskolleg einen Ausbildungsgang besucht, in dem man den gewünschten Abschluss nicht erwerben kann oder</w:t>
      </w:r>
    </w:p>
    <w:p>
      <w:r>
        <w:t xml:space="preserve">4. zwingende persönliche oder gesundheitliche Gründe geltend macht, die eine Ausnahme zur Anmeldung während der Schulpflicht rechtfertigen.</w:t>
      </w:r>
    </w:p>
    <w:p>
      <w:r>
        <w:t xml:space="preserve">(2) Bewerberinnen oder Bewerber gemäß Absatz 1 Nummer 2 oder Bewerberinnen und Bewerber in einer Maßnahme nach § 37 Absatz 2 Satz 2 des Schulgesetzes NRW dürfen auch dann zur Externenprüfung zugelassen werden, wenn sie oder er bei Meldeschluss die für den erstrebten Abschluss erforderliche Regelschulzeit in der Sekundarstufe I um nicht mehr als neun Monate unterschreitet. Das Prüfungszeugnis wird in diesem Fall erst zum Entlassungstermin der öffentlichen Schulen ausgehändigt.</w:t>
      </w:r>
    </w:p>
    <w:p>
      <w:r>
        <w:t xml:space="preserve">(3) Durch die Externenprüfung kann der erstrebte Abschluss in der Regel nicht vor dem Ende der Regelschulzeit erreicht werden, die für den entsprechenden Bildungsgang in der Sekundarstufe I festgesetzt ist.</w:t>
      </w:r>
    </w:p>
    <w:p>
      <w:r>
        <w:rPr>
          <w:color w:val="555555"/>
          <w:sz w:val="17"/>
        </w:rPr>
        <w:t xml:space="preserve">Zitiervorschlag: § 6 NW_29416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https://recht.nulegal.eu/gesetze/NW_29416/6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