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NW_29415 (Nordrhein-Westfalen) — Einsatz elektronischer Bezahlsysteme und des Lastschriftverfahrens</w:t>
      </w:r>
    </w:p>
    <w:p>
      <w:r>
        <w:rPr>
          <w:color w:val="555555"/>
          <w:sz w:val="18"/>
        </w:rPr>
        <w:t xml:space="preserve">Bekanntmachung des Staatsvertrages zwischen dem Land Rheinland-Pfalz und dem Land Nordrhein-Westfalen über die Übertragung von Aufgaben nach § 9 Abs. 1 und § 10 des Handelsgesetzbuchs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Kosten für die Teilnahme am elektronischen Abrufverfahren über das Registerportal ist der Einsatz elektronischer Bezahlsysteme und des Lastschriftverfahrens gestattet.</w:t>
      </w:r>
    </w:p>
    <w:p>
      <w:r>
        <w:t xml:space="preserve">(2) Im Falle des Absatzes 1 bedarf es keiner vorherigen Anmeldung nach § 4. Zum Nachweis der im Rahmen des Absatzes 1 erfolgten Abrufe erhält das Land Rheinland-Pfalz eine monatliche Übersicht über diese Abrufe.</w:t>
      </w:r>
    </w:p>
    <w:p>
      <w:r>
        <w:rPr>
          <w:color w:val="555555"/>
          <w:sz w:val="17"/>
        </w:rPr>
        <w:t xml:space="preserve">Zitiervorschlag: § 8 NW_29415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https://recht.nulegal.eu/gesetze/NW_29415/8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