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NW_29415 (Nordrhein-Westfalen) — Erfassung kostenpflichtiger Tatbestände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Rheinland-Pfalz überträgt die Zuständigkeit für die Erfassung der kostenpflichtigen Tatbestände der Teilnahme am elektronischen Abrufverfahren über das Registerportal auf das Land Nordrhein-Westfalen. Zuständige Stelle ist das Amtsgericht Hagen.</w:t>
      </w:r>
    </w:p>
    <w:p>
      <w:r>
        <w:t xml:space="preserve">(2) Die Kostenfreiheit im Sinne des § 8 Abs. 2 der Justizverwaltungskostenordnung bestimmt sich nach dem Recht des Landes Rheinland-Pfalz.</w:t>
      </w:r>
    </w:p>
    <w:p>
      <w:r>
        <w:rPr>
          <w:color w:val="555555"/>
          <w:sz w:val="17"/>
        </w:rPr>
        <w:t xml:space="preserve">Zitiervorschlag: § 5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