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NW_29415 (Nordrhein-Westfalen) — In-Kraft-Treten</w:t>
      </w:r>
    </w:p>
    <w:p>
      <w:r>
        <w:rPr>
          <w:color w:val="555555"/>
          <w:sz w:val="18"/>
        </w:rPr>
        <w:t xml:space="preserve">Bekanntmachung des Staatsvertrages zwischen dem Land Rheinland-Pfalz und dem Land Nordrhein-Westfalen über die Übertragung von Aufgaben nach § 9 Abs. 1 und § 10 des Handelsgesetzbuchs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Dieser Staatsvertrag bedarf der Ratifikation; die Ratifikationsurkunden werden bei der Staatskanzlei des Landes Nordrhein-Westfalen hinterlegt.</w:t>
      </w:r>
    </w:p>
    <w:p>
      <w:r>
        <w:t xml:space="preserve">(2) Der Staatsvertrag tritt an dem Tag in Kraft, der auf den Tag folgt, an dem die letzte Ratifikationsurkunde hinterlegt wird. Der Zeitpunkt des In-Kraft-Tretens des Staatsvertrages ist dem Land Rheinland-Pfalz mitzuteilen.</w:t>
      </w:r>
    </w:p>
    <w:p>
      <w:r>
        <w:t xml:space="preserve">(3) Das In-Kraft-Treten dieses Staatsvertrages ist nicht von der Wirksamkeit entsprechender Staatsverträge über das Registerportal mit anderen Ländern abhängig.</w:t>
      </w:r>
    </w:p>
    <w:p>
      <w:r>
        <w:t xml:space="preserve">Mainz, den 15. Mai 2007</w:t>
      </w:r>
    </w:p>
    <w:p>
      <w:r>
        <w:t xml:space="preserve">Für das Land Rheinland-Pfalz</w:t>
      </w:r>
    </w:p>
    <w:p>
      <w:r>
        <w:t xml:space="preserve">Der Minister der Justiz</w:t>
      </w:r>
    </w:p>
    <w:p>
      <w:r>
        <w:t xml:space="preserve">Dr. Heinz Georg B a m b e r g e r</w:t>
      </w:r>
    </w:p>
    <w:p>
      <w:r>
        <w:t xml:space="preserve">Düsseldorf, den 23. Mai 2007</w:t>
      </w:r>
    </w:p>
    <w:p>
      <w:r>
        <w:t xml:space="preserve">Für das Land Nordrhein-Westfalen</w:t>
      </w:r>
    </w:p>
    <w:p>
      <w:r>
        <w:t xml:space="preserve">Die Justizministerin</w:t>
      </w:r>
    </w:p>
    <w:p>
      <w:r>
        <w:t xml:space="preserve">Roswitha M ü l l e r-P i e p e n k ö t t e r</w:t>
      </w:r>
    </w:p>
    <w:p>
      <w:r>
        <w:rPr>
          <w:color w:val="555555"/>
          <w:sz w:val="17"/>
        </w:rPr>
        <w:t xml:space="preserve">Zitiervorschlag: § 14 NW_29415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