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NW_29415 (Nordrhein-Westfalen) — Kündigung</w:t>
      </w:r>
    </w:p>
    <w:p>
      <w:r>
        <w:rPr>
          <w:color w:val="555555"/>
          <w:sz w:val="18"/>
        </w:rPr>
        <w:t xml:space="preserve">Bekanntmachung des Staatsvertrages zwischen dem Land Rheinland-Pfalz und dem Land Nordrhein-Westfalen über die Übertragung von Aufgaben nach § 9 Abs. 1 und § 10 des Handelsgesetzbuchs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wird auf unbestimmte Zeit geschlossen. Er kann von jeder Vertragsseite mit einer Frist von einem Jahr zum Ablauf eines Kalenderjahres, erstmals zum Ablauf des Jahres 2011, gekündigt werden.</w:t>
      </w:r>
    </w:p>
    <w:p>
      <w:r>
        <w:rPr>
          <w:color w:val="555555"/>
          <w:sz w:val="17"/>
        </w:rPr>
        <w:t xml:space="preserve">Zitiervorschlag: § 13 NW_29415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