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NW_29414 (Nordrhein-Westfalen) — Einsicht in die Prüfungsakte</w:t>
      </w:r>
    </w:p>
    <w:p>
      <w:r>
        <w:rPr>
          <w:color w:val="555555"/>
          <w:sz w:val="18"/>
        </w:rPr>
        <w:t xml:space="preserve">AnerkennungsVO Berufsqualifikation Lehramt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Prüfling hat das Recht, nach Erteilung des Zeugnisses oder der Bescheinigung nach § 18 Absatz 2 seine Prüfungsakte einzusehen.</w:t>
      </w:r>
    </w:p>
    <w:p>
      <w:r>
        <w:rPr>
          <w:color w:val="555555"/>
          <w:sz w:val="17"/>
        </w:rPr>
        <w:t xml:space="preserve">Zitiervorschlag: § 24 NW_29414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https://recht.nulegal.eu/gesetze/NW_29414/24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