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NW_29373 (Nordrhein-Westfalen) — Inkrafttreten</w:t>
      </w:r>
    </w:p>
    <w:p>
      <w:r>
        <w:rPr>
          <w:color w:val="555555"/>
          <w:sz w:val="18"/>
        </w:rPr>
        <w:t xml:space="preserve">Verordnung zur Bestimmung der lebenswichtigen Einrichtungen im Geschäftsbereich des Finanzministeriums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September 2007 in Kraft.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NW_29373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https://recht.nulegal.eu/gesetze/NW_29373/2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