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NW_29373 (Nordrhein-Westfalen) — Lebenswichtige Einrichtungen</w:t>
      </w:r>
    </w:p>
    <w:p>
      <w:r>
        <w:rPr>
          <w:color w:val="555555"/>
          <w:sz w:val="18"/>
        </w:rPr>
        <w:t xml:space="preserve">Verordnung zur Bestimmung der lebenswichtigen Einrichtungen im Geschäftsbereich des Finanzministeriums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Lebenswichtige Einrichtung im Sinne des § 2 Satz 2 des Sicherheitsüberprüfungsgesetzes Nordrhein-Westfalen ist im Geschäftsbereich des Finanzministeriums der Produktionsbereich des Rechenzentrums der Finanzverwaltung.</w:t>
      </w:r>
    </w:p>
    <w:p>
      <w:r>
        <w:rPr>
          <w:color w:val="555555"/>
          <w:sz w:val="17"/>
        </w:rPr>
        <w:t xml:space="preserve">Zitiervorschlag: § 1 NW_29373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https://recht.nulegal.eu/gesetze/NW_29373/1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