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NW_29331 (Nordrhein-Westfalen) — Aufbewahrung, Aussonderung, Löschung und Vernichtung der Dateien und Akten</w:t>
      </w:r>
    </w:p>
    <w:p>
      <w:r>
        <w:rPr>
          <w:color w:val="555555"/>
          <w:sz w:val="18"/>
        </w:rPr>
        <w:t xml:space="preserve">VO-DV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personenbezogene Daten, die nach dieser Verordnung in Dateien gespeichert oder in Akten aufbewahrt werden, gelten folgende Fristen:</w:t>
      </w:r>
    </w:p>
    <w:p>
      <w:r>
        <w:t xml:space="preserve">1. Zweitschriften von</w:t>
      </w:r>
    </w:p>
    <w:p>
      <w:r>
        <w:t xml:space="preserve">Abgangs- und Abschlusszeugnissen</w:t>
      </w:r>
    </w:p>
    <w:p>
      <w:r>
        <w:t xml:space="preserve">50 Jahre</w:t>
      </w:r>
    </w:p>
    <w:p>
      <w:r>
        <w:t xml:space="preserve">2. Schülerstammblätter</w:t>
      </w:r>
    </w:p>
    <w:p>
      <w:r>
        <w:t xml:space="preserve">20 Jahre</w:t>
      </w:r>
    </w:p>
    <w:p>
      <w:r>
        <w:t xml:space="preserve">3. Zeugnislisten, Zeugnisdurchschriften</w:t>
      </w:r>
    </w:p>
    <w:p>
      <w:r>
        <w:t xml:space="preserve">(soweit es sich nicht um Abgangs- und</w:t>
      </w:r>
    </w:p>
    <w:p>
      <w:r>
        <w:t xml:space="preserve">Abschlusszeugnisse handelt), Unterlagen</w:t>
      </w:r>
    </w:p>
    <w:p>
      <w:r>
        <w:t xml:space="preserve">über die Klassenführung (Klassenbuch,</w:t>
      </w:r>
    </w:p>
    <w:p>
      <w:r>
        <w:t xml:space="preserve">Kursbuch), Akten über Schülerprüfungen</w:t>
      </w:r>
    </w:p>
    <w:p>
      <w:r>
        <w:t xml:space="preserve">10 Jahre</w:t>
      </w:r>
    </w:p>
    <w:p>
      <w:r>
        <w:t xml:space="preserve">4. alle übrigen Daten</w:t>
      </w:r>
    </w:p>
    <w:p>
      <w:r>
        <w:t xml:space="preserve">5 Jahre.</w:t>
      </w:r>
    </w:p>
    <w:p>
      <w:r>
        <w:t xml:space="preserve">Die Aufbewahrungsfristen beginnen mit Ablauf des Kalenderjahres, in dem die Akten oder Dateien abgeschlossen worden sind, jedoch nicht vor Ablauf des Kalenderjahres, in dem die Schulpflicht endet, sofern nichts anderes bestimmt ist.</w:t>
      </w:r>
    </w:p>
    <w:p>
      <w:r>
        <w:t xml:space="preserve">(2) Sind die Daten nach Absatz 1 in öffentlichen ADV-Anlagen oder auf Datenträgern gespeichert, gelten die Aufbewahrungsfristen entsprechend. Für auf privaten digitalen Geräten gespeicherte Daten (§ 2 Absatz 2) beträgt die Aufbewahrungsfrist ein Jahr. Sie beginnt abweichend von Absatz 1 mit Ablauf des Kalenderjahres, in dem die Schülerin oder der Schüler von der Lehrerin oder dem Lehrer nicht mehr unterrichtet wird.</w:t>
      </w:r>
    </w:p>
    <w:p>
      <w:r>
        <w:t xml:space="preserve">(3) Akten und Dateien, deren Aufbewahrungsfristen abgelaufen sind, sind mit Ausnahme der Dateien nach § 2 Abs. 2 dem zuständigen Archiv zur Übernahme anzubieten. Akten und Dateien, die nicht durch ein Archiv übernommen werden, sind zu vernichten oder zu löschen.</w:t>
      </w:r>
    </w:p>
    <w:p>
      <w:r>
        <w:t xml:space="preserve">(4) Bei Schließung einer Schule bestimmt die zuständige Schulaufsichtsbehörde in Absprache mit dem Schulträger und der übernehmenden Schulleitung eine andere Schule, der die Pflichten nach Absatz 1 bis 3 übertragen werden. Ihr sind zu diesen Zwecken die Daten von der auslaufenden Schule zu übermitteln. Die Pflicht zur Aufbewahrung schließt das Sicherstellen der Rechte der betroffenen Personen (z.B. Einsichtnahme, Auskunft, Berichtigung) ein.</w:t>
      </w:r>
    </w:p>
    <w:p>
      <w:r>
        <w:t xml:space="preserve">(5) Zur Führung der nicht öffentlichen Schulchronik (Daten zur Schulgeschichte) dürfen Schulen die folgenden personenbezogenen Daten von Schülerinnen und Schülern zeitlich unbefristet verwenden:</w:t>
      </w:r>
    </w:p>
    <w:p>
      <w:r>
        <w:t xml:space="preserve">1. Name, Vorname und</w:t>
      </w:r>
    </w:p>
    <w:p>
      <w:r>
        <w:t xml:space="preserve">2. Jahr der Beendigung des Schulverhältnisses.</w:t>
      </w:r>
    </w:p>
    <w:p>
      <w:r>
        <w:rPr>
          <w:color w:val="555555"/>
          <w:sz w:val="17"/>
        </w:rPr>
        <w:t xml:space="preserve">Zitiervorschlag: § 9 NW_29331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https://recht.nulegal.eu/gesetze/NW_29331/9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