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NW_29331 (Nordrhein-Westfalen) — Datenerhebung, Berichtigung, Auskunft, Einsicht in Akten</w:t>
      </w:r>
    </w:p>
    <w:p>
      <w:r>
        <w:rPr>
          <w:color w:val="555555"/>
          <w:sz w:val="18"/>
        </w:rPr>
        <w:t xml:space="preserve">VO-DV I</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in § 1 Absatz 1 Satz 1 genannten Personen sind bei der Erhebung personenbezogener Daten zur Angabe verpflichtet, soweit es sich um Daten handelt, die in den Anlagen aufgeführt sind. Dabei sind diese Personen nach Maßgabe des Artikels 13 der Datenschutz-Grundverordnung zu informieren. Für Kinder aus Familien beruflich Reisender in Grundschulen und Schulen der Sekundarstufe I sind die in § 1 Absatz 1 Satz 1 genannten Personen verpflichtet, Schultagebücher gemäß § 4 Absatz 7 zu führen.</w:t>
      </w:r>
    </w:p>
    <w:p>
      <w:r>
        <w:t xml:space="preserve">(2) Nicht in den Anlagen aufgeführte Daten dürfen nur erhoben werden, wenn die betroffene Person eingewilligt hat. Die Einwilligung ist gegenüber der Schulleitung zu erklären. Die Schulleitung muss nachweisen können, dass eingewilligt wurde. Dabei sind die Grundsätze des Artikels 4 Nummer 11 und des Artikels 7 der Datenschutz-Grundverordnung zu erfüllen. Auch mit Einwilligung dürfen unzumutbare, nicht zweckdienliche oder sachfremde Angaben nicht erhoben werden.</w:t>
      </w:r>
    </w:p>
    <w:p>
      <w:r>
        <w:t xml:space="preserve">(3) Personenbezogene Daten sind nach Maßgabe des Artikels 16 der Datenschutz-Grundverordnung zu berichtigen, wenn sie unrichtig oder unvollständig sind.</w:t>
      </w:r>
    </w:p>
    <w:p>
      <w:r>
        <w:t xml:space="preserve">(4) Die in § 1 Absatz 1 Satz 1 genannten Personen sind mit den Einschränkungen des § 120 Absatz 9 des Schulgesetzes NRW berechtigt, Einsicht in die sie betreffenden Unterlagen zu nehmen und nach Maßgabe des Artikels 15 der Datenschutz-Grundverordnung Auskunft über die Verarbeitung der sie betreffenden Daten zu erhalten.</w:t>
      </w:r>
    </w:p>
    <w:p>
      <w:r>
        <w:rPr>
          <w:color w:val="555555"/>
          <w:sz w:val="17"/>
        </w:rPr>
        <w:t xml:space="preserve">Zitiervorschlag: § 3 NW_29331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https://recht.nulegal.eu/gesetze/NW_29331/3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