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NW_29331 (Nordrhein-Westfalen) — Inkrafttreten, Übergangsvorschrift</w:t>
      </w:r>
    </w:p>
    <w:p>
      <w:r>
        <w:rPr>
          <w:color w:val="555555"/>
          <w:sz w:val="18"/>
        </w:rPr>
        <w:t xml:space="preserve">VO-DV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der Verkündung in Kraft. Gleichzeitig tritt die Verordnung über die zur Verarbeitung zugelassenen Daten von Schülerinnen, Schülern und Erziehungsberechtigten (VO-DV I) vom 24. März 1995 (GV. NRW. S. 356), zuletzt geändert durch Artikel 9 des Gesetzes vom 8. Juli 2003 (GV. NRW. S. 413), außer Kraft.</w:t>
      </w:r>
    </w:p>
    <w:p>
      <w:r>
        <w:t xml:space="preserve">(2) Schulchroniken, die bei Inkrafttreten dieser Verordnung bereits bestehen, können mit den bisherigen Inhalten für schulinterne Zwecke aufbewahrt werden.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11 NW_29331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https://recht.nulegal.eu/gesetze/NW_29331/11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