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NW_29331 (Nordrhein-Westfalen) — Ordnungswidrigkeiten</w:t>
      </w:r>
    </w:p>
    <w:p>
      <w:r>
        <w:rPr>
          <w:color w:val="555555"/>
          <w:sz w:val="18"/>
        </w:rPr>
        <w:t xml:space="preserve">VO-DV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 als nach § 3 Abs. 1 zur Auskunft Verpflichteter</w:t>
      </w:r>
    </w:p>
    <w:p>
      <w:r>
        <w:t xml:space="preserve">1. keine,</w:t>
      </w:r>
    </w:p>
    <w:p>
      <w:r>
        <w:t xml:space="preserve">2. unrichtige oder</w:t>
      </w:r>
    </w:p>
    <w:p>
      <w:r>
        <w:t xml:space="preserve">3. unvollständige</w:t>
      </w:r>
    </w:p>
    <w:p>
      <w:r>
        <w:t xml:space="preserve">Auskunft erteilt.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die Bezirksregierung.</w:t>
      </w:r>
    </w:p>
    <w:p>
      <w:r>
        <w:rPr>
          <w:color w:val="555555"/>
          <w:sz w:val="17"/>
        </w:rPr>
        <w:t xml:space="preserve">Zitiervorschlag: § 10 NW_29331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https://recht.nulegal.eu/gesetze/NW_29331/10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