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NW_29311 (Nordrhein-Westfalen) — Bestimmung des elektronischen Bekanntmachungssystems</w:t>
      </w:r>
    </w:p>
    <w:p>
      <w:r>
        <w:rPr>
          <w:color w:val="555555"/>
          <w:sz w:val="18"/>
        </w:rPr>
        <w:t xml:space="preserve">Bekanntmachung des Staatsvertrages zwischen dem Freistaat Thüringen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Freistaat Thüringen bestimmt das Registerportal als das länderübergreifende, zentrale elektronische Informations- und Kommunikationssystem im Sinne von § 10 HGB7, über das die Bekanntmachung der Eintragungen erfolgt.</w:t>
      </w:r>
    </w:p>
    <w:p>
      <w:r>
        <w:t xml:space="preserve">(2) Die Registerbekanntmachungen der Amtsgerichte werden zur Veröffentlichung an das Land Nordrhein-Westfalen übermittelt.</w:t>
      </w:r>
    </w:p>
    <w:p>
      <w:r>
        <w:t xml:space="preserve">(3) Die Veröffentlichung erfolgt unverzüglich nach dem Eingang der übermittelten Daten.</w:t>
      </w:r>
    </w:p>
    <w:p>
      <w:r>
        <w:rPr>
          <w:color w:val="555555"/>
          <w:sz w:val="17"/>
        </w:rPr>
        <w:t xml:space="preserve">Zitiervorschlag: § 3 NW_29311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https://recht.nulegal.eu/gesetze/NW_29311/3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