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NW_29311 (Nordrhein-Westfalen) — Gegenstand und Ziele des Registerportals</w:t>
      </w:r>
    </w:p>
    <w:p>
      <w:r>
        <w:rPr>
          <w:color w:val="555555"/>
          <w:sz w:val="18"/>
        </w:rPr>
        <w:t xml:space="preserve">Bekanntmachung des Staatsvertrages zwischen dem Freistaat Thüringen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Durch die Entwicklung und den Betrieb des bundesweiten Registerportals soll insbesondere erreicht werden:</w:t>
      </w:r>
    </w:p>
    <w:p>
      <w:r>
        <w:t xml:space="preserve">1. Über das Registerportal wird die jedermann zu Informationszwecken gestattete Einsicht in das Handelsregister, Genossenschaftsregister und Partnerschaftsregister in elektronischer Form eröffnet. Der Zugang erfolgt unmittelbar und bundesweit zu allen an das Registerportal angeschlossenen Abrufsystemen der Länder.</w:t>
      </w:r>
    </w:p>
    <w:p>
      <w:r>
        <w:t xml:space="preserve">2. Das Registerportal erlaubt eine bundesweite Suche über die eingetragenen Firmen und juristischen Personen.</w:t>
      </w:r>
    </w:p>
    <w:p>
      <w:r>
        <w:t xml:space="preserve">3. Zur Nutzung des Portals ist eine einmalige Anmeldung erforderlich. Mit der dabei zugewiesenen Benutzerkennung kann – ohne zusätzliche Registrierung – im Bestand aller angeschlossenen Bundesländer recherchiert werden.</w:t>
      </w:r>
    </w:p>
    <w:p>
      <w:r>
        <w:t xml:space="preserve">4. Das Registerportal bietet die Möglichkeit einer länderübergreifenden Gebührenabrechnung und Vollstreckung der Gebührenforderung.</w:t>
      </w:r>
    </w:p>
    <w:p>
      <w:r>
        <w:t xml:space="preserve">5. Das Registerportal steht als zentrale Bekanntmachungsplattform in Registersachen3 zur Verfügung.</w:t>
      </w:r>
    </w:p>
    <w:p>
      <w:r>
        <w:t xml:space="preserve">6. Das Registerportal schafft die Voraussetzung, mit anderen elektronischen Informations- und Kommunikationssystemen, insbesondere dem Unternehmensregister4 und dem statistischen Unternehmensregister5, über eine einheitliche Schnittstelle Daten auszutauschen.</w:t>
      </w:r>
    </w:p>
    <w:p>
      <w:r>
        <w:rPr>
          <w:color w:val="555555"/>
          <w:sz w:val="17"/>
        </w:rPr>
        <w:t xml:space="preserve">Zitiervorschlag: § 1 NW_29311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https://recht.nulegal.eu/gesetze/NW_29311/1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