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NW_29309 (Nordrhein-Westfalen) — Auskehrung der Einnahmen</w:t>
      </w:r>
    </w:p>
    <w:p>
      <w:r>
        <w:rPr>
          <w:color w:val="555555"/>
          <w:sz w:val="18"/>
        </w:rPr>
        <w:t xml:space="preserve">Bekanntmachung des Staatsvertrages zwischen dem Land Sachsen-Anhalt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Reinerlös der auf Grund der Übertragungen nach Artikel 7 und 8 eingenommenen Gebühren für die Teilnahme und Nutzung des elektronischen Abrufverfahrens wird zum 15. Februar, 15. Mai, 15. August und 15. November an das Land Sachsen-Anhalt überwiesen. Der Überweisungsbetrag entspricht in der Höhe der Summe der Beträge, die - gegebenenfalls nach Abzug von Gebühren eines Lastschrift - bzw. elektronischen Bezahl- oder Vollstreckungsverfahrens - dem Land Nordrhein-Westfalen tatsächlich zugeflossen sind.</w:t>
      </w:r>
    </w:p>
    <w:p>
      <w:r>
        <w:rPr>
          <w:color w:val="555555"/>
          <w:sz w:val="17"/>
        </w:rPr>
        <w:t xml:space="preserve">Zitiervorschlag: Art 9 NW_29309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