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NW_29308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bedarf der Ratifikation. Er tritt nach Zustimmung der verfassungsmäßig berufenen Organe der vertragsschließenden Länder und Hinterlegung der Ratifikationsurkunden in der Staatskanzlei des Landes Nordrhein-Westfalen frühestens am 1. Januar 2007 in Kraft, andernfalls am ersten Tag des Monats, der auf den Monat der Hinterlegung der letzten Ratifikationsurkunde in der Staatskanzlei des Landes Nordrhein-Westfalen folgt.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Düsseldorf, den 8. Januar 2007</w:t>
      </w:r>
    </w:p>
    <w:p>
      <w:r>
        <w:t xml:space="preserve">Für das Land Nordrhein-Westfalen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Roswitha M ü l l e r-P i e p e n k ö t t e r</w:t>
      </w:r>
    </w:p>
    <w:p>
      <w:r>
        <w:t xml:space="preserve">Dresden, den 16. Januar 2007</w:t>
      </w:r>
    </w:p>
    <w:p>
      <w:r>
        <w:t xml:space="preserve">Für den Freistaat Sachsen</w:t>
      </w:r>
    </w:p>
    <w:p>
      <w:r>
        <w:t xml:space="preserve">In Vertretung des Ministerpräsidenten</w:t>
      </w:r>
    </w:p>
    <w:p>
      <w:r>
        <w:t xml:space="preserve">Der Staatsminister der Justiz</w:t>
      </w:r>
    </w:p>
    <w:p>
      <w:r>
        <w:t xml:space="preserve">Geert W. M a c k e n r o t h</w:t>
      </w:r>
    </w:p>
    <w:p>
      <w:r>
        <w:rPr>
          <w:color w:val="555555"/>
          <w:sz w:val="17"/>
        </w:rPr>
        <w:t xml:space="preserve">Zitiervorschlag: Art 13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