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 NW_29308 (Nordrhein-Westfalen) — Kosten</w:t>
      </w:r>
    </w:p>
    <w:p>
      <w:r>
        <w:rPr>
          <w:color w:val="555555"/>
          <w:sz w:val="18"/>
        </w:rPr>
        <w:t xml:space="preserve">Bekanntmachung des Staatsvertrages zwischen dem Freistaat Sachsen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Freistaat Sachsen erstattet dem Land Nordrhein-Westfalen den ihm durch diesen Vertrag entstehenden Aufwand. Die Höhe wird durch gesonderte Dienstleistungsvereinbarung festgelegt. Der Freistaat Sachsen erstattet dem Land Nordrhein-Westfalen auch die Gebühren des Vollstreckungsverfahrens.</w:t>
      </w:r>
    </w:p>
    <w:p>
      <w:r>
        <w:rPr>
          <w:color w:val="555555"/>
          <w:sz w:val="17"/>
        </w:rPr>
        <w:t xml:space="preserve">Zitiervorschlag: Art 11 NW_29308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https://recht.nulegal.eu/gesetze/NW_29308/11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