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NW_29305 (Nordrhein-Westfalen) — Auskehrung der Einnahmen</w:t>
      </w:r>
    </w:p>
    <w:p>
      <w:r>
        <w:rPr>
          <w:color w:val="555555"/>
          <w:sz w:val="18"/>
        </w:rPr>
        <w:t xml:space="preserve">Bekanntmachung des Staatsvertrages zwischen dem Saarland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Reinerlös der auf Grund der Übertragungen nach § 7 und § 8 eingenommenen Gebühren für die Teilnahme und Nutzung des elektronischen Abrufverfahrens wird zum 15. Februar, 15. Mai, 15. August und 15. November an das Saarland überwiesen. Der Überweisungsbetrag entspricht in der Höhe der Summe der Beträge, die - ggf. nach Abzug von Gebühren eines Lastschrift - bzw. elektronischen Bezahl- oder Vollstreckungsverfahrens - dem Land Nordrhein-Westfalen tatsächlich zugeflossen sind.</w:t>
      </w:r>
    </w:p>
    <w:p>
      <w:r>
        <w:rPr>
          <w:color w:val="555555"/>
          <w:sz w:val="17"/>
        </w:rPr>
        <w:t xml:space="preserve">Zitiervorschlag: § 9 NW_29305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