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NW_29305 (Nordrhein-Westfalen) — Bestimmung des elektronischen Bekanntmachungssystems</w:t>
      </w:r>
    </w:p>
    <w:p>
      <w:r>
        <w:rPr>
          <w:color w:val="555555"/>
          <w:sz w:val="18"/>
        </w:rPr>
        <w:t xml:space="preserve">Bekanntmachung des Staatsvertrages zwischen dem Saarland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Saarland bestimmt das Registerportal als das länderübergreifende, zentrale elektronische Informations- und Kommunikationssystem im Sinne von</w:t>
      </w:r>
    </w:p>
    <w:p>
      <w:r>
        <w:t xml:space="preserve">§ 10 HGB,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§ 3 NW_29305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