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NW_29304 (Nordrhein-Westfalen)</w:t>
      </w:r>
    </w:p>
    <w:p>
      <w:r>
        <w:rPr>
          <w:color w:val="555555"/>
          <w:sz w:val="18"/>
        </w:rPr>
        <w:t xml:space="preserve">Bekanntmachung des Staatsvertrages zwischen dem Land Niedersachsen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Land Niedersachsen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Land Niedersachsen</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Das Land Niedersachsen,</w:t>
      </w:r>
    </w:p>
    <w:p>
      <w:r>
        <w:t xml:space="preserve">vertreten durch den Ministerpräsidenten,</w:t>
      </w:r>
    </w:p>
    <w:p>
      <w:r>
        <w:t xml:space="preserve">dieser vertreten durch die Justizministerin,</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HGB) der Länder und dient der Bekanntmachung der Eintragungen der Registergerichte (§ 10 HGB).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https://recht.nulegal.eu/gesetze/NW_29304/volltext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