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NW_29304 (Nordrhein-Westfalen) — Einsatz von elektronischen Bezahlsystemen und Lastschriftverfahren</w:t>
      </w:r>
    </w:p>
    <w:p>
      <w:r>
        <w:rPr>
          <w:color w:val="555555"/>
          <w:sz w:val="18"/>
        </w:rPr>
        <w:t xml:space="preserve">Bekanntmachung des Staatsvertrages zwischen dem Land Niedersachsen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des elektronischen Abrufverfahrens, die für Abrufe entstehen, die über das Registerportal erfolgen, ist der Einsatz elektronischer Bezahlsysteme und des Lastschriftverfahrens gestattet.</w:t>
      </w:r>
    </w:p>
    <w:p>
      <w:r>
        <w:t xml:space="preserve">(2) Abrufe nach Absatz 1 erfolgen ohne vorherige Anmeldung nach § 4. Das Land Niedersachsen erhält zum Nachweis der nach Absatz 1 erfolgten Abrufe eine monatliche Übersicht.</w:t>
      </w:r>
    </w:p>
    <w:p>
      <w:r>
        <w:rPr>
          <w:color w:val="555555"/>
          <w:sz w:val="17"/>
        </w:rPr>
        <w:t xml:space="preserve">Zitiervorschlag: § 8 NW_29304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https://recht.nulegal.eu/gesetze/NW_29304/8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