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NW_29300 (Nordrhein-Westfalen) — Bestimmung des elektronischen Bekanntmachungssystems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Freie Hansestadt Bremen bestimmt das Registerportal als das länderübergreifende, zentrale elektronische Informations- und Kommunikationssystem im Sinne von § 10 des Handelsgesetzbuchs, über das die Bekanntmachung der Eintragungen erfolgt.</w:t>
      </w:r>
    </w:p>
    <w:p>
      <w:r>
        <w:t xml:space="preserve">(2) Die Registerbekanntmachungen der Amtsgerichte werden zur Veröffentlichung an das Land Nordrhein-Westfalen übermittelt.</w:t>
      </w:r>
    </w:p>
    <w:p>
      <w:r>
        <w:t xml:space="preserve">(3) Die Veröffentlichung erfolgt unverzüglich nach dem Eingang der übermittelten Daten.</w:t>
      </w:r>
    </w:p>
    <w:p>
      <w:r>
        <w:rPr>
          <w:color w:val="555555"/>
          <w:sz w:val="17"/>
        </w:rPr>
        <w:t xml:space="preserve">Zitiervorschlag: § 3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