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NW_29299 (Nordrhein-Westfalen) — Zentrale Erfassung von Gebührentatbeständen</w:t>
      </w:r>
    </w:p>
    <w:p>
      <w:r>
        <w:rPr>
          <w:color w:val="555555"/>
          <w:sz w:val="18"/>
        </w:rPr>
        <w:t xml:space="preserve">Bekanntmachung des Staatsvertrages zwischen dem Land Brandenburg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Brandenburg überträgt die Zuständigkeit für die Erfassung der Gebührentatbestände des elektronischen Abrufverfahrens über das Registerportal auf das Land Nordrhein-Westfalen. Zuständige Stelle ist das Amtsgericht Hagen.</w:t>
      </w:r>
    </w:p>
    <w:p>
      <w:r>
        <w:t xml:space="preserve">(2) Die Gebührenfreiheit im Sinne von § 8 Abs. 2 der Justizverwaltungskostenordnung beurteilt sich nach dem Recht des Landes Brandenburg.</w:t>
      </w:r>
    </w:p>
    <w:p>
      <w:r>
        <w:rPr>
          <w:color w:val="555555"/>
          <w:sz w:val="17"/>
        </w:rPr>
        <w:t xml:space="preserve">Zitiervorschlag: § 5 NW_29299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https://recht.nulegal.eu/gesetze/NW_29299/5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