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NW_29299 (Nordrhein-Westfalen) — Bestimmung des elektronischen Auskunftssystems</w:t>
      </w:r>
    </w:p>
    <w:p>
      <w:r>
        <w:rPr>
          <w:color w:val="555555"/>
          <w:sz w:val="18"/>
        </w:rPr>
        <w:t xml:space="preserve">Bekanntmachung des Staatsvertrages zwischen dem Land Brandenburg und dem Land Nordrhein-Westfalen über die Übertragung von Aufgaben nach § 9 Abs. 1 und § 10 Handelsgesetzbuch zur Errichtung und zum Betrieb eines gemeinsamen Registerportals der Länder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Das Land Brandenburg bestimmt das Registerportal als das länderübergreifende, zentrale elektronische Informations- und Kommunikationssystem im Sinne von § 9 Abs. 1 Satz 4 des Handelsgesetzbuches, über das die Daten aus dem Handelsregister, Genossenschaftsregister und Partnerschaftsregister der Amtsgerichte (Registergerichte) des Landes Brandenburg abrufbar sind. Die Berechtigung, weitere Zugangsmöglichkeiten zu den Registerdaten zu eröffnen, bleibt hiervon unberührt.</w:t>
      </w:r>
    </w:p>
    <w:p>
      <w:r>
        <w:rPr>
          <w:color w:val="555555"/>
          <w:sz w:val="17"/>
        </w:rPr>
        <w:t xml:space="preserve">Zitiervorschlag: § 2 NW_29299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https://recht.nulegal.eu/gesetze/NW_29299/2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