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NW_29299 (Nordrhein-Westfalen) — In-Kraft-Treten und Kündigung</w:t>
      </w:r>
    </w:p>
    <w:p>
      <w:r>
        <w:rPr>
          <w:color w:val="555555"/>
          <w:sz w:val="18"/>
        </w:rPr>
        <w:t xml:space="preserve">Bekanntmachung des Staatsvertrages zwischen dem Land Brandenburg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Vertrag tritt nach der erforderlichen Zustimmung der verfassungsmäßig zuständigen Organe an dem Tag in Kraft, der auf den Austausch der Ratifikationsurkunden folgt.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Brüssel, den 30. November 2006</w:t>
      </w:r>
    </w:p>
    <w:p>
      <w:r>
        <w:t xml:space="preserve">Für den Ministerpräsidenten</w:t>
      </w:r>
    </w:p>
    <w:p>
      <w:r>
        <w:t xml:space="preserve">des Landes Nordrhein-Westfalen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t xml:space="preserve">Roswitha M ü l l e r-P i e p e n k ö t t t e r</w:t>
      </w:r>
    </w:p>
    <w:p>
      <w:r>
        <w:t xml:space="preserve">Brüssel, den 30. November 2006</w:t>
      </w:r>
    </w:p>
    <w:p>
      <w:r>
        <w:t xml:space="preserve">Für den Ministerpräsidenten</w:t>
      </w:r>
    </w:p>
    <w:p>
      <w:r>
        <w:t xml:space="preserve">des Landes Brandenburg</w:t>
      </w:r>
    </w:p>
    <w:p>
      <w:r>
        <w:t xml:space="preserve">Die Ministerin der Justiz</w:t>
      </w:r>
    </w:p>
    <w:p>
      <w:r>
        <w:t xml:space="preserve">des Landes Brandenburg</w:t>
      </w:r>
    </w:p>
    <w:p>
      <w:r>
        <w:t xml:space="preserve">Beate B l e c h i n g e r</w:t>
      </w:r>
    </w:p>
    <w:p>
      <w:r>
        <w:rPr>
          <w:color w:val="555555"/>
          <w:sz w:val="17"/>
        </w:rPr>
        <w:t xml:space="preserve">Zitiervorschlag: § 13 NW_29299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