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NW_29296 (Nordrhein-Westfalen) — Gegenstand und Ziele des Registerportals</w:t>
      </w:r>
    </w:p>
    <w:p>
      <w:r>
        <w:rPr>
          <w:color w:val="555555"/>
          <w:sz w:val="18"/>
        </w:rPr>
        <w:t xml:space="preserve">Bekanntmachung des Staatsvertrages zwischen dem Land Baden-Württemberg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 [3] zur Verfügung.</w:t>
      </w:r>
    </w:p>
    <w:p>
      <w:r>
        <w:t xml:space="preserve">6. Das Registerportal schafft die Voraussetzung, mit anderen elektronischen Informations- und Kommunikationssystemen, insbesondere dem Unternehmensregister [4] und dem statistischen Unternehmensregister [5], über eine einheitliche Schnittstelle Daten auszutauschen.</w:t>
      </w:r>
    </w:p>
    <w:p>
      <w:r>
        <w:rPr>
          <w:color w:val="555555"/>
          <w:sz w:val="17"/>
        </w:rPr>
        <w:t xml:space="preserve">Zitiervorschlag: § 1 NW_29296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