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NW_29292 (Nordrhein-Westfalen) — Kosten (Gebühren und Auslagen)</w:t>
      </w:r>
    </w:p>
    <w:p>
      <w:r>
        <w:rPr>
          <w:color w:val="555555"/>
          <w:sz w:val="18"/>
        </w:rPr>
        <w:t xml:space="preserve">UIG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Übermittlung von Informationen auf Grund dieses Gesetzes werden Kosten (Gebühren und Auslagen) erhoben.</w:t>
      </w:r>
    </w:p>
    <w:p>
      <w:r>
        <w:t xml:space="preserve">(2) Gebühren werden nicht erhoben für die Erteilung mündlicher und einfacher schriftlicher Auskünfte, die Einsichtnahme in Umweltinformationen vor Ort, Maßnahmen und Vorkehrungen zur Unterstützung des Zugangs zu Umweltinformationen nach § 2 dieses Gesetzes in Verbindung mit § 7 Absatz 1 und 2 des Umweltinformationsgesetzes sowie die Unterrichtung der Öffentlichkeit nach § 2 dieses Gesetzes in Verbindung mit § 10 des Umweltinformationsgesetzes. Auslagen werden nicht erhoben für wenige Schwarz-weiß-Duplikate in DIN A 4 und DIN A 3 - Format oder als Reproduktion von verfilmten Akten oder die Weitergabe einzelner Daten in elektronischer Form.</w:t>
      </w:r>
    </w:p>
    <w:p>
      <w:r>
        <w:t xml:space="preserve">(3) Die Gebühren sind auch unter Berücksichtigung des Verwaltungsaufwandes so zu bemessen, dass der Informationsanspruch wirksam in Anspruch genommen werden kann.</w:t>
      </w:r>
    </w:p>
    <w:p>
      <w:r>
        <w:t xml:space="preserve">(4) Im Übrigen findet das Gebührengesetz für das Land Nordrhein-Westfalen (GebG NRW) Anwendung.</w:t>
      </w:r>
    </w:p>
    <w:p>
      <w:r>
        <w:t xml:space="preserve">(5) Private informationspflichtige Stellen im Sinn des § 1 Absatz 2 Nummer 2 können für die Übermittlung von Informationen nach diesem Gesetz von der antragstellenden Person Kostenerstattung gemäß den Grundsätzen der Absätze 1 bis 4 verlangen. Die Höhe der erstattungsfähigen Kosten bemisst sich nach den in der Allgemeinen Verwaltungsgebührenordnung festgelegten Kostenansätzen für Amtshandlungen von informationspflichtigen Stellen nach § 1 Absatz 2 Nummer 1.</w:t>
      </w:r>
    </w:p>
    <w:p>
      <w:r>
        <w:rPr>
          <w:color w:val="555555"/>
          <w:sz w:val="17"/>
        </w:rPr>
        <w:t xml:space="preserve">Zitiervorschlag: § 5 NW_29292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