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NW_29292 (Nordrhein-Westfalen) — Rechtsschutz</w:t>
      </w:r>
    </w:p>
    <w:p>
      <w:r>
        <w:rPr>
          <w:color w:val="555555"/>
          <w:sz w:val="18"/>
        </w:rPr>
        <w:t xml:space="preserve">UIG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Streitigkeiten nach diesem Gesetz ist der Verwaltungsrechtsweg gegeben.</w:t>
      </w:r>
    </w:p>
    <w:p>
      <w:r>
        <w:t xml:space="preserve">(2) Gegen die Entscheidung durch eine informationspflichtige Stelle im Sinn des § 1 Absatz 2 Nummer 1 ist ein Widerspruchsverfahren nach den §§ 68 - 73 der Verwaltungsgerichtsordnung auch dann durchzuführen, wenn die Entscheidung von einer obersten Landesbehörde getroffen worden ist.</w:t>
      </w:r>
    </w:p>
    <w:p>
      <w:r>
        <w:rPr>
          <w:color w:val="555555"/>
          <w:sz w:val="17"/>
        </w:rPr>
        <w:t xml:space="preserve">Zitiervorschlag: § 3 NW_29292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https://recht.nulegal.eu/gesetze/NW_29292/3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