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NW_29263 (Nordrhein-Westfalen)</w:t>
      </w:r>
    </w:p>
    <w:p>
      <w:r>
        <w:rPr>
          <w:color w:val="555555"/>
          <w:sz w:val="18"/>
        </w:rPr>
        <w:t xml:space="preserve">Bekanntmachung des Staatsvertrages über die Einrichtung eines gemeinsamen Studienganges für den Amtsanwaltsdienst und die Errichtung eines gemeinsamen Prüfungsamtes für die Abnahme der Amtsanwaltsprüfung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das Studium I und II gelten im Übrigen die Bestimmungen der Verordnung über die Ausbildung und Prüfung für die Laufbahn des Amtsanwaltsdienstes des Landes Nordrhein-Westfalen (APOAA) vom 6. November 2006 (GV. NRW. S. 520) in der jeweils geltenden Fassung. Änderungen der Verordnung über die Ausbildung und Prüfung für die Laufbahn des Amtsanwaltsdienstes des Landes Nordrhein-Westfalen (APOAA) werden unter den Ländern abgestimmt.</w:t>
      </w:r>
    </w:p>
    <w:p>
      <w:r>
        <w:rPr>
          <w:color w:val="555555"/>
          <w:sz w:val="17"/>
        </w:rPr>
        <w:t xml:space="preserve">Zitiervorschlag: § 4 NW_29263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https://recht.nulegal.eu/gesetze/NW_29263/4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