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NW_29262 (Nordrhein-Westfalen) — Zuständigkeit des Landschaftsausschusses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Landschaftsausschuss entscheidet über alle Angelegenheiten des Betriebes, soweit sie nicht der Landschaftsversammlung, dem Betriebsausschuss LVR-Jugendhilfe Rheinland, der Direktorin /dem Direktor des Landschaftsverbandes Rheinland oder der Betriebsleitung zur Entscheidung übertragen sind.</w:t>
      </w:r>
    </w:p>
    <w:p>
      <w:r>
        <w:t xml:space="preserve">(2) Er hat die Beschlüsse der Landschaftsversammlung vorzubereiten. Er berät insbesondere die Feststellung und Änderung der Wirtschafts- und Finanzpläne sowie die Feststellung der Jahresabschlüsse nach Vorberatungen im Betriebsausschuss und dem Finanzausschuss.</w:t>
      </w:r>
    </w:p>
    <w:p>
      <w:r>
        <w:t xml:space="preserve">(3) Er entscheidet über:</w:t>
      </w:r>
    </w:p>
    <w:p>
      <w:r>
        <w:t xml:space="preserve">1. Gründung oder Übernahme von Betriebsstätten oder wesentlichen Zweckänderungen von bestehenden Betriebsstätten,</w:t>
      </w:r>
    </w:p>
    <w:p>
      <w:r>
        <w:t xml:space="preserve">2. die Auflösung der Betriebsstätten oder wesentlicher Teile unter Berücksichtigung der Empfehlung des Betriebsausschusses,</w:t>
      </w:r>
    </w:p>
    <w:p>
      <w:r>
        <w:t xml:space="preserve">3. An- und Verkauf von Grundstücken sowie Bestellung dinglicher Rechte an Grundstücken,</w:t>
      </w:r>
    </w:p>
    <w:p>
      <w:r>
        <w:t xml:space="preserve">4. Meinungsverschiedenheiten zwischen dem Fachausschuss oder dem Betriebsausschuss und der Direktorin bzw. des Direktors des Landschaftsverbandes Rheinland sowie zwischen dem Fachausschuss oder dem Betriebsausschuss und der Kämmerin bzw. dem Kämmerer,</w:t>
      </w:r>
    </w:p>
    <w:p>
      <w:r>
        <w:t xml:space="preserve">5. Ernennung und Beförderung der Beamtinnen oder Beamten der Besoldungsgruppe A 13h.D. oder einer höheren Besoldung,</w:t>
      </w:r>
    </w:p>
    <w:p>
      <w:r>
        <w:t xml:space="preserve">6. Behandlung von Petitionen, Anregungen und Beschwerden, die aufgrund des allgemeinen Petitionsrechts schriftlich an die Vertretung des LVR gerichtet werden, soweit nicht der Betriebsausschuss zuständig ist.</w:t>
      </w:r>
    </w:p>
    <w:p>
      <w:r>
        <w:rPr>
          <w:color w:val="555555"/>
          <w:sz w:val="17"/>
        </w:rPr>
        <w:t xml:space="preserve">Zitiervorschlag: § 8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