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NW_29262 (Nordrhein-Westfalen) — Zweck und Ziel des Betriebes</w:t>
      </w:r>
    </w:p>
    <w:p>
      <w:r>
        <w:rPr>
          <w:color w:val="555555"/>
          <w:sz w:val="18"/>
        </w:rPr>
        <w:t xml:space="preserve">LVR-Jugendhilfe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Zweck und Ziel ist die Förderung der sozialen und emotionalen sowie schulisch-beruflichen Entwicklung von Kindern und Jugendlichen auf der Grundlage von § 85 Abs. 2 Nr. 3 Sozialgesetzbuch VIII (SGB VIII) in Form von Leistungen nach dem SGB VIII, insbesondere Hilfen zur Erziehung und Eingliederungshilfen für seelisch behinderte Kinder und Jugendliche.</w:t>
      </w:r>
    </w:p>
    <w:p>
      <w:r>
        <w:rPr>
          <w:color w:val="555555"/>
          <w:sz w:val="17"/>
        </w:rPr>
        <w:t xml:space="preserve">Zitiervorschlag: § 2 NW_29262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https://recht.nulegal.eu/gesetze/NW_29262/2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