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NW_29262 (Nordrhein-Westfalen) — Wirtschaftsführung und Rechnungswesen</w:t>
      </w:r>
    </w:p>
    <w:p>
      <w:r>
        <w:rPr>
          <w:color w:val="555555"/>
          <w:sz w:val="18"/>
        </w:rPr>
        <w:t xml:space="preserve">LVR-Jugendhilfe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 ist zweckmäßig und wirtschaftlich zu führen.</w:t>
      </w:r>
    </w:p>
    <w:p>
      <w:r>
        <w:t xml:space="preserve">(2) Der Betrieb ist als Sondervermögen zu verwalten und nachzuweisen. Auf die Erhaltung des Sondervermögens ist zu achten.</w:t>
      </w:r>
    </w:p>
    <w:p>
      <w:r>
        <w:t xml:space="preserve">(3) Das Wirtschaftsjahr des Betriebes entspricht dem Haushaltsjahr des Landschaftsverbandes Rheinland.</w:t>
      </w:r>
    </w:p>
    <w:p>
      <w:r>
        <w:t xml:space="preserve">(4) Für den Betrieb ist ein Wirtschaftsplan bestehend aus Erfolgsplan, Vermögensplan und Stellenübersicht, unter Beachtung bundes- und landesrechtlicher Regelungen aufzustellen.</w:t>
      </w:r>
    </w:p>
    <w:p>
      <w:r>
        <w:t xml:space="preserve">(5) Der Erfolgsplan ist zu ändern, wenn von veranschlagten Erträgen und Aufwendungen in erheblichem Umfang abgewichen werden muss.</w:t>
      </w:r>
    </w:p>
    <w:p>
      <w:r>
        <w:t xml:space="preserve">(6) Der Vermögensplan ist insbesondere zu ändern, wenn die Gesamtsumme der Ausgaben wesentlich erhöht werden soll oder zusätzliche Deckungsmittel aus dem Haushalt des Landschaftsverbandes Rheinland zum Ausgleich des Planes notwendig werden.</w:t>
      </w:r>
    </w:p>
    <w:p>
      <w:r>
        <w:t xml:space="preserve">(7) Die Buchführung des Betriebes wird nach den Regeln der kaufmännischen doppelten Buchführung geführt.</w:t>
      </w:r>
    </w:p>
    <w:p>
      <w:r>
        <w:t xml:space="preserve">(8) Der Jahresabschluss ist durch eine Wirtschaftsprüfungsgesellschaft zu prüfen.</w:t>
      </w:r>
    </w:p>
    <w:p>
      <w:r>
        <w:t xml:space="preserve">(9) Für die Prüfung der Wirtschaftsführung und des Rechnungswesens durch den Fachbereich Rechnungsprüfung gelten die Vorschriften der Rechnungsprüfungsordnung des Landschaftsverbandes Rheinland.</w:t>
      </w:r>
    </w:p>
    <w:p>
      <w:r>
        <w:rPr>
          <w:color w:val="555555"/>
          <w:sz w:val="17"/>
        </w:rPr>
        <w:t xml:space="preserve">Zitiervorschlag: § 13 NW_29262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