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NW_29255 (Nordrhein-Westfalen)</w:t>
      </w:r>
    </w:p>
    <w:p>
      <w:r>
        <w:rPr>
          <w:color w:val="555555"/>
          <w:sz w:val="18"/>
        </w:rPr>
        <w:t xml:space="preserve">Verordnung zur Regelung von Zuständigkeiten nach dem Bundeselterngeld- und Elternzeitgesetz und nach dem Bundeskindergeldgesetz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Dezember 2006</w:t>
      </w:r>
    </w:p>
    <w:p>
      <w:r>
        <w:t xml:space="preserve">(Artikel 1 der Verordnung zur Regelung von Zuständigkeiten nach dem Bundeselterngeld-</w:t>
      </w:r>
    </w:p>
    <w:p>
      <w:r>
        <w:t xml:space="preserve">und Elternzeitgesetz vom 5. Dezember 2006 (GV. NRW. S. 599))</w:t>
      </w:r>
    </w:p>
    <w:p>
      <w:r>
        <w:t xml:space="preserve">Aufgrund</w:t>
      </w:r>
    </w:p>
    <w:p>
      <w:r>
        <w:t xml:space="preserve">1. des § 5 Abs. 3 Satz 1 des Landesorganisationsgesetzes vom 10. Juli 1962 (GV. NRW. S. 421), zuletzt geändert durch Artikel III des Gesetzes vom 1. März 2005 (GV. NRW. S. 69),</w:t>
      </w:r>
    </w:p>
    <w:p>
      <w:r>
        <w:t xml:space="preserve">2. der §§ 12 Abs. 1 Satz 1 und 18 Abs. 1 Satz 3 des Bundeselterngeld- und Elternzeitgesetzes -BEEG - vom 5. Dezember 2006 [Artikel 1 des Gesetzes zur Einführung des Elterngeldes (BGBl. I S. 2748)],</w:t>
      </w:r>
    </w:p>
    <w:p>
      <w:r>
        <w:t xml:space="preserve">wird verordnet:</w:t>
      </w:r>
    </w:p>
    <w:p>
      <w:r>
        <w:rPr>
          <w:color w:val="555555"/>
          <w:sz w:val="17"/>
        </w:rPr>
        <w:t xml:space="preserve">Zitiervorschlag: Volltext NW_29255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