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NW_29255 (Nordrhein-Westfalen)</w:t>
      </w:r>
    </w:p>
    <w:p>
      <w:r>
        <w:rPr>
          <w:color w:val="555555"/>
          <w:sz w:val="18"/>
        </w:rPr>
        <w:t xml:space="preserve">Verordnung zur Regelung von Zuständigkeiten nach dem Bundeselterngeld- und Elternzeitgesetz und nach dem Bundeskindergeldgesetz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tritt mit Wirkung vom 1. Januar 2007 in Kraft.</w:t>
      </w:r>
    </w:p>
    <w:p>
      <w:r>
        <w:t xml:space="preserve">(2) Das für die Durchführung des Bundeselterngeld- und Elternzeitgesetzes und des Bundeskindergeldgesetzes zuständige Ministerium berichtet der Landesregierung bis zum 31. Dezember 2016 und danach alle fünf Jahre über die Erfahrungen mit dieser Verordnung.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Der Minister</w:t>
      </w:r>
    </w:p>
    <w:p>
      <w:r>
        <w:t xml:space="preserve">für Generationen, Familie,</w:t>
      </w:r>
    </w:p>
    <w:p>
      <w:r>
        <w:t xml:space="preserve">Frauen und Integration</w:t>
      </w:r>
    </w:p>
    <w:p>
      <w:r>
        <w:rPr>
          <w:color w:val="555555"/>
          <w:sz w:val="17"/>
        </w:rPr>
        <w:t xml:space="preserve">Zitiervorschlag: § 4 NW_29255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https://recht.nulegal.eu/gesetze/NW_29255/4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