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NW_29255 (Nordrhein-Westfalen)</w:t>
      </w:r>
    </w:p>
    <w:p>
      <w:r>
        <w:rPr>
          <w:color w:val="555555"/>
          <w:sz w:val="18"/>
        </w:rPr>
        <w:t xml:space="preserve">Verordnung zur Regelung von Zuständigkeiten nach dem Bundeselterngeld- und Elternzeitgesetz und nach dem Bundeskindergeldgesetz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zur Wahrnehmung der Aufgaben nach § 6b Bundeskindergeldgesetz sind die Kreise und kreisfreien Städte. Die Städteregion Aachen ist zuständige Behörde für das Gebiet der Stadt Aachen und der übrigen regionsangehörigen Gemeinden.</w:t>
      </w:r>
    </w:p>
    <w:p>
      <w:r>
        <w:t xml:space="preserve">(2) Die Kreise sind befugt, kreisangehörige Gemeinden im Benehmen mit diesen durch Satzung zur Durchführung der Aufgaben nach § 6b Bundeskindergeldgesetz heranzuziehen.</w:t>
      </w:r>
    </w:p>
    <w:p>
      <w:r>
        <w:t xml:space="preserve">(3) Der Belastungsausgleich für die entstehenden notwendigen, durchschnittlichen Mehraufwendungen, die den Kreisen und kreisfreien Städten für die Durchführung der Aufgabe nach Absatz 1 entstehen, wird durch Rechtsverordnung der Landesregierung geregelt.</w:t>
      </w:r>
    </w:p>
    <w:p>
      <w:r>
        <w:rPr>
          <w:color w:val="555555"/>
          <w:sz w:val="17"/>
        </w:rPr>
        <w:t xml:space="preserve">Zitiervorschlag: § 3 NW_29255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