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NW_29247 (Nordrhein-Westfalen)</w:t>
      </w:r>
    </w:p>
    <w:p>
      <w:r>
        <w:rPr>
          <w:color w:val="555555"/>
          <w:sz w:val="18"/>
        </w:rPr>
        <w:t xml:space="preserve">Gesetz zur Regelung personalrechtlicher und vermögensrechtlicher Folgen der Verlagerung des Sondervermögens Tierseuchenkasse auf die Landwirtschaftskammer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Dezember 2006</w:t>
      </w:r>
    </w:p>
    <w:p>
      <w:r>
        <w:t xml:space="preserve">(Artikel 21 des Gesetzes zur Straffung der Behördenstruktur in Nordrhein-Westfalen</w:t>
      </w:r>
    </w:p>
    <w:p>
      <w:r>
        <w:t xml:space="preserve">vom 12. Dezember 2006 (GV. NRW. S. 622))</w:t>
      </w:r>
    </w:p>
    <w:p>
      <w:r>
        <w:rPr>
          <w:color w:val="555555"/>
          <w:sz w:val="17"/>
        </w:rPr>
        <w:t xml:space="preserve">Zitiervorschlag: Volltext NW_29247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https://recht.nulegal.eu/gesetze/NW_29247/volltext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