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NW_29247 (Nordrhein-Westfalen) — Vermögensübergang</w:t>
      </w:r>
    </w:p>
    <w:p>
      <w:r>
        <w:rPr>
          <w:color w:val="555555"/>
          <w:sz w:val="18"/>
        </w:rPr>
        <w:t xml:space="preserve">Gesetz zur Regelung personalrechtlicher und vermögensrechtlicher Folgen der Verlagerung des Sondervermögens Tierseuchenkasse auf die Landwirtschaftskammer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Sondervermögen Tierseuchenkasse geht als Sondervermögen unentgeltlich auf die Landwirtschaftskammer Nordrhein-Westfalen über.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Für den Innenminister</w:t>
      </w:r>
    </w:p>
    <w:p>
      <w:r>
        <w:t xml:space="preserve">die Justizministerin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rPr>
          <w:color w:val="555555"/>
          <w:sz w:val="17"/>
        </w:rPr>
        <w:t xml:space="preserve">Zitiervorschlag: § 2 NW_29247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https://recht.nulegal.eu/gesetze/NW_29247/2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