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NW_29238 (Nordrhein-Westfalen) — In-Kraft-Treten</w:t>
      </w:r>
    </w:p>
    <w:p>
      <w:r>
        <w:rPr>
          <w:color w:val="555555"/>
          <w:sz w:val="18"/>
        </w:rPr>
        <w:t xml:space="preserve">Gesetz über die Errichtung des Landesamtes für Natur, Umwelt und Verbraucherschutz - LANUV-Errichtungsgesetz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2007 in Kraft. Über die Erfahrungen mit diesem Gesetz ist dem Landtag bis zum 1. Januar 2011 zu berichten.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Die Ministerin</w:t>
      </w:r>
    </w:p>
    <w:p>
      <w:r>
        <w:t xml:space="preserve">für Wirtschaft, Mittelstand und Energie</w:t>
      </w:r>
    </w:p>
    <w:p>
      <w:r>
        <w:t xml:space="preserve">Für den Innenminister</w:t>
      </w:r>
    </w:p>
    <w:p>
      <w:r>
        <w:t xml:space="preserve">die Justizministerin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Hinweis:</w:t>
      </w:r>
    </w:p>
    <w:p>
      <w:r>
        <w:t xml:space="preserve">(Artikel 7 des Gesetzes zur Änderung des Landesjagdgesetzes und zur Änderung jagdlicher Vorschriften vom 1. April 2014 (GV. NRW. S. 254))</w:t>
      </w:r>
    </w:p>
    <w:p>
      <w:r>
        <w:t xml:space="preserve">Fortführung der Verwaltungsverfahren</w:t>
      </w:r>
    </w:p>
    <w:p>
      <w:r>
        <w:t xml:space="preserve">Laufende Verwaltungsverfahren des Landesbetriebes Wald und Holz NRW aus dem Aufgabenbereich, der dem Landesamt für Natur, Umwelt und Verbraucherschutz gemäß Artikel 2 übertragen worden ist, werden vom Landesamt fortgeführt.</w:t>
      </w:r>
    </w:p>
    <w:p>
      <w:r>
        <w:rPr>
          <w:color w:val="555555"/>
          <w:sz w:val="17"/>
        </w:rPr>
        <w:t xml:space="preserve">Zitiervorschlag: § 9 NW_29238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