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NW_29238 (Nordrhein-Westfalen) — Organisation</w:t>
      </w:r>
    </w:p>
    <w:p>
      <w:r>
        <w:rPr>
          <w:color w:val="555555"/>
          <w:sz w:val="18"/>
        </w:rPr>
        <w:t xml:space="preserve">Gesetz über die Errichtung des Landesamtes für Natur, Umwelt und Verbraucherschutz - LANUV-Errichtungsgesetz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und der Landesbetrieb Wald und Holz NRW sollen bezogen auf die Nationalparkflächen in den zentralen Bereichen ihrer Organisation kooperieren und, soweit möglich und sachgerecht, bestehende Strukturen gemeinsam nutzen. Näheres wird durch Verwaltungsvereinbarung geregelt.</w:t>
      </w:r>
    </w:p>
    <w:p>
      <w:r>
        <w:t xml:space="preserve">(2) Das Landesamt regelt in einem Organisationsplan die Einzelheiten seiner Organisation und legt in einem Geschäftsverteilungsplan die Zuständigkeiten für die jeweiligen Aufgaben nach § 2 fest. Organisationsplan und Geschäftsverteilungsplan bedürfen der Zustimmung der Aufsichtsbehörde.</w:t>
      </w:r>
    </w:p>
    <w:p>
      <w:r>
        <w:rPr>
          <w:color w:val="555555"/>
          <w:sz w:val="17"/>
        </w:rPr>
        <w:t xml:space="preserve">Zitiervorschlag: § 3 NW_29238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https://recht.nulegal.eu/gesetze/NW_29238/3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