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NW_29237 (Nordrhein-Westfalen)</w:t>
      </w:r>
    </w:p>
    <w:p>
      <w:r>
        <w:rPr>
          <w:color w:val="555555"/>
          <w:sz w:val="18"/>
        </w:rPr>
        <w:t xml:space="preserve">Gesetz zur Eingliederung von Landesoberbehörden, Unteren Landesbehörden und Einrichtungen des 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2006</w:t>
      </w:r>
    </w:p>
    <w:p>
      <w:r>
        <w:t xml:space="preserve">(Artikel 1 des Gesetzes zur Straffung der Behördenstruktur in Nordrhein-Westfalen</w:t>
      </w:r>
    </w:p>
    <w:p>
      <w:r>
        <w:t xml:space="preserve">vom 12. Dezember 2006)</w:t>
      </w:r>
    </w:p>
    <w:p>
      <w:r>
        <w:rPr>
          <w:color w:val="555555"/>
          <w:sz w:val="17"/>
        </w:rPr>
        <w:t xml:space="preserve">Zitiervorschlag: Volltext NW_29237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