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NW_29237 (Nordrhein-Westfalen)</w:t>
      </w:r>
    </w:p>
    <w:p>
      <w:r>
        <w:rPr>
          <w:color w:val="555555"/>
          <w:sz w:val="18"/>
        </w:rPr>
        <w:t xml:space="preserve">Gesetz zur Eingliederung von Landesoberbehörden, Unteren Landesbehörden und Einrichtungen des 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dem Landesumweltamt übertragenen Aufgaben werden auf das Landesamt für Natur, Umwelt und Verbraucherschutz übertragen, soweit nicht für einzelne Aufgaben spezielle Zuständigkeitsregelungen dieser Bestimmung vorgehen. Das Landesumweltamt wird aufgelöst.</w:t>
      </w:r>
    </w:p>
    <w:p>
      <w:r>
        <w:t xml:space="preserve">(2) Abweichend von Absatz 1 werden folgende vom Landesumweltamt wahrgenommene Aufgaben</w:t>
      </w:r>
    </w:p>
    <w:p>
      <w:r>
        <w:t xml:space="preserve">1. Vollzugsaufgaben nach dem Wasserentnahmeentgeltgesetz</w:t>
      </w:r>
    </w:p>
    <w:p>
      <w:r>
        <w:t xml:space="preserve">2. Vollzugsaufgaben gemäß § 39 Landesabfallgesetz</w:t>
      </w:r>
    </w:p>
    <w:p>
      <w:r>
        <w:t xml:space="preserve">3. Vollzugsaufgaben nach dem Abwasserabgabengesetz</w:t>
      </w:r>
    </w:p>
    <w:p>
      <w:r>
        <w:t xml:space="preserve">4. Vollzugsaufgaben nach dem Gentechnikgesetz</w:t>
      </w:r>
    </w:p>
    <w:p>
      <w:r>
        <w:t xml:space="preserve">5. Berufsbildung nach der zweiten Berufsbildungs-Zuständigkeitsverordnung</w:t>
      </w:r>
    </w:p>
    <w:p>
      <w:r>
        <w:t xml:space="preserve">auf die Bezirksregierung Düsseldorf übertragen.</w:t>
      </w:r>
    </w:p>
    <w:p>
      <w:r>
        <w:rPr>
          <w:color w:val="555555"/>
          <w:sz w:val="17"/>
        </w:rPr>
        <w:t xml:space="preserve">Zitiervorschlag: § 2 NW_29237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