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NW_29213 (Nordrhein-Westfalen) — Kartographische Geobasisdaten</w:t>
      </w:r>
    </w:p>
    <w:p>
      <w:r>
        <w:rPr>
          <w:color w:val="555555"/>
          <w:sz w:val="18"/>
        </w:rPr>
        <w:t xml:space="preserve">DVOzVermKatG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kartographischen Gestaltungselementen verknüpften topographischen Geobasisdaten (§ 5) werden als kartographische Geobasisdaten bezeichnet. Die kartographischen Geobasisdaten sind im Geobasisinformationssystem für den Bereich der Landesvermessung zu führen und aktuell zu halten. § 4 Absatz 4 gilt entsprechend.</w:t>
      </w:r>
    </w:p>
    <w:p>
      <w:r>
        <w:t xml:space="preserve">(2) Die kartographischen Geobasisdaten stellen die Landesfläche in unterschiedlichen Generalisierungsstufen und Zielmaßstäben unter Beachtung des § 5 Absatz 1 Satz 2 flächendeckend dar. Aus diesen Daten werden die Topographischen Landeskarten abgeleitet.</w:t>
      </w:r>
    </w:p>
    <w:p>
      <w:r>
        <w:rPr>
          <w:color w:val="555555"/>
          <w:sz w:val="17"/>
        </w:rPr>
        <w:t xml:space="preserve">Zitiervorschlag: § 7 NW_29213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https://recht.nulegal.eu/gesetze/NW_29213/7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