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NW_29213 (Nordrhein-Westfalen) — Geodätischer Raumbezug</w:t>
      </w:r>
    </w:p>
    <w:p>
      <w:r>
        <w:rPr>
          <w:color w:val="555555"/>
          <w:sz w:val="18"/>
        </w:rPr>
        <w:t xml:space="preserve">DVOzVermKatG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amtliche Vermessungswesen basiert auf dem einheitlichen geodätischen Raumbezug (§ 1 Absatz 2 des Vermessungs- und Katastergesetzes). Dieser wird realisiert durch das Raumbezugspunktfeld der Landesvermessung und das Vermessungspunktfeld des Liegenschaftskatasters. Er wird insbesondere über den Satellitenpositionierungsdienst bereitgestellt.</w:t>
      </w:r>
    </w:p>
    <w:p>
      <w:r>
        <w:t xml:space="preserve">(2) Das Raumbezugspunktfeld der Landesvermessung umfasst alle geodätischen Grundnetzpunkte, Höhenfestpunkte, Schwerefestpunkte und Referenzstationspunkte, die im Geobasisinformationssystem für den Bereich der Landesvermessung (§ 8 Absatz 2 Nummer 1 des Vermessungs- und Katastergesetzes) geführt werden.</w:t>
      </w:r>
    </w:p>
    <w:p>
      <w:r>
        <w:t xml:space="preserve">(3) Das Raumbezugspunktfeld ist aktuell zu halten. Zur Dokumentation von Veränderungen ist in das Geobasisinformationssystem für den Bereich der Landesvermessung ein entsprechender Historiennachweis zu integrieren bzw. hiermit zu verknüpfen.</w:t>
      </w:r>
    </w:p>
    <w:p>
      <w:r>
        <w:t xml:space="preserve">(4) Bei der Erhebung, Führung und Bereitstellung der Daten sind, soweit möglich, bundeseinheitliche Standards zu berücksichtigen.</w:t>
      </w:r>
    </w:p>
    <w:p>
      <w:r>
        <w:rPr>
          <w:color w:val="555555"/>
          <w:sz w:val="17"/>
        </w:rPr>
        <w:t xml:space="preserve">Zitiervorschlag: § 4 NW_29213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https://recht.nulegal.eu/gesetze/NW_29213/4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